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80" w:rsidRDefault="00E73080" w:rsidP="00547C51">
      <w:pPr>
        <w:rPr>
          <w:rFonts w:ascii="Calibri" w:hAnsi="Calibri" w:cs="Calibri"/>
          <w:b/>
          <w:color w:val="0A456B"/>
          <w:sz w:val="40"/>
          <w:szCs w:val="40"/>
        </w:rPr>
      </w:pPr>
    </w:p>
    <w:p w:rsidR="00D77E16" w:rsidRPr="00BD7ABD" w:rsidRDefault="009F13D7" w:rsidP="00547C51">
      <w:pPr>
        <w:rPr>
          <w:rFonts w:ascii="Calibri" w:hAnsi="Calibri" w:cs="Calibri"/>
          <w:b/>
          <w:color w:val="0A456B"/>
          <w:sz w:val="40"/>
          <w:szCs w:val="40"/>
        </w:rPr>
      </w:pPr>
      <w:r>
        <w:rPr>
          <w:rFonts w:ascii="Calibri" w:hAnsi="Calibri" w:cs="Calibri"/>
          <w:b/>
          <w:color w:val="0A456B"/>
          <w:sz w:val="40"/>
          <w:szCs w:val="40"/>
        </w:rPr>
        <w:t>Biology: Cell Biology and Genetics</w:t>
      </w:r>
    </w:p>
    <w:p w:rsidR="00D77E16" w:rsidRPr="00126AB1" w:rsidRDefault="009A7AE0" w:rsidP="00547C51">
      <w:pPr>
        <w:rPr>
          <w:rFonts w:ascii="Calibri" w:hAnsi="Calibri" w:cs="Calibri"/>
          <w:color w:val="A03F62"/>
          <w:sz w:val="36"/>
        </w:rPr>
      </w:pPr>
      <w:r w:rsidRPr="00126AB1">
        <w:rPr>
          <w:rFonts w:ascii="Calibri" w:hAnsi="Calibri" w:cs="Calibri"/>
          <w:color w:val="A03F62"/>
          <w:sz w:val="36"/>
        </w:rPr>
        <w:t>A residential course for A</w:t>
      </w:r>
      <w:r w:rsidR="0007109C" w:rsidRPr="00126AB1">
        <w:rPr>
          <w:rFonts w:ascii="Calibri" w:hAnsi="Calibri" w:cs="Calibri"/>
          <w:color w:val="A03F62"/>
          <w:sz w:val="36"/>
        </w:rPr>
        <w:t>2-</w:t>
      </w:r>
      <w:r w:rsidR="00D77E16" w:rsidRPr="00126AB1">
        <w:rPr>
          <w:rFonts w:ascii="Calibri" w:hAnsi="Calibri" w:cs="Calibri"/>
          <w:color w:val="A03F62"/>
          <w:sz w:val="36"/>
        </w:rPr>
        <w:t>level students</w:t>
      </w:r>
    </w:p>
    <w:p w:rsidR="00416D04" w:rsidRPr="00BD7ABD" w:rsidRDefault="00416D04" w:rsidP="00547C51">
      <w:pPr>
        <w:jc w:val="both"/>
        <w:rPr>
          <w:rFonts w:ascii="Calibri" w:hAnsi="Calibri" w:cs="Arial"/>
          <w:b/>
          <w:color w:val="0A456B"/>
          <w:sz w:val="16"/>
          <w:szCs w:val="24"/>
        </w:rPr>
      </w:pPr>
    </w:p>
    <w:p w:rsidR="00D77E16" w:rsidRDefault="00255472" w:rsidP="00547C51">
      <w:pPr>
        <w:jc w:val="both"/>
        <w:rPr>
          <w:rFonts w:ascii="Calibri" w:hAnsi="Calibri" w:cs="Arial"/>
          <w:b/>
          <w:color w:val="0A456B"/>
          <w:szCs w:val="24"/>
        </w:rPr>
      </w:pPr>
      <w:r w:rsidRPr="00BD7ABD">
        <w:rPr>
          <w:rFonts w:ascii="Calibri" w:hAnsi="Calibri" w:cs="Arial"/>
          <w:b/>
          <w:color w:val="0A456B"/>
          <w:szCs w:val="24"/>
        </w:rPr>
        <w:t>This course sets out to inspire and challenge you in a non-competitive environment, mixing with</w:t>
      </w:r>
      <w:r w:rsidR="007325C5">
        <w:rPr>
          <w:rFonts w:ascii="Calibri" w:hAnsi="Calibri" w:cs="Arial"/>
          <w:b/>
          <w:color w:val="0A456B"/>
          <w:szCs w:val="24"/>
        </w:rPr>
        <w:t xml:space="preserve"> </w:t>
      </w:r>
      <w:r w:rsidRPr="00BD7ABD">
        <w:rPr>
          <w:rFonts w:ascii="Calibri" w:hAnsi="Calibri" w:cs="Arial"/>
          <w:b/>
          <w:color w:val="0A456B"/>
          <w:szCs w:val="24"/>
        </w:rPr>
        <w:t xml:space="preserve">like-minded students from across the </w:t>
      </w:r>
      <w:r w:rsidR="002F4B7E" w:rsidRPr="00BD7ABD">
        <w:rPr>
          <w:rFonts w:ascii="Calibri" w:hAnsi="Calibri" w:cs="Arial"/>
          <w:b/>
          <w:color w:val="0A456B"/>
          <w:szCs w:val="24"/>
        </w:rPr>
        <w:t>UK and tutored by two subject experts</w:t>
      </w:r>
      <w:r w:rsidRPr="00BD7ABD">
        <w:rPr>
          <w:rFonts w:ascii="Calibri" w:hAnsi="Calibri" w:cs="Arial"/>
          <w:b/>
          <w:color w:val="0A456B"/>
          <w:szCs w:val="24"/>
        </w:rPr>
        <w:t xml:space="preserve">. Participation can be acknowledged under </w:t>
      </w:r>
      <w:r w:rsidRPr="00BD7ABD">
        <w:rPr>
          <w:rFonts w:ascii="Calibri" w:hAnsi="Calibri" w:cs="Arial"/>
          <w:b/>
          <w:i/>
          <w:color w:val="0A456B"/>
          <w:szCs w:val="24"/>
        </w:rPr>
        <w:t xml:space="preserve">Preparation for </w:t>
      </w:r>
      <w:proofErr w:type="gramStart"/>
      <w:r w:rsidRPr="00BD7ABD">
        <w:rPr>
          <w:rFonts w:ascii="Calibri" w:hAnsi="Calibri" w:cs="Arial"/>
          <w:b/>
          <w:i/>
          <w:color w:val="0A456B"/>
          <w:szCs w:val="24"/>
        </w:rPr>
        <w:t>HE</w:t>
      </w:r>
      <w:proofErr w:type="gramEnd"/>
      <w:r w:rsidRPr="00BD7ABD">
        <w:rPr>
          <w:rFonts w:ascii="Calibri" w:hAnsi="Calibri" w:cs="Arial"/>
          <w:b/>
          <w:i/>
          <w:color w:val="0A456B"/>
          <w:szCs w:val="24"/>
        </w:rPr>
        <w:t xml:space="preserve"> </w:t>
      </w:r>
      <w:r w:rsidRPr="00BD7ABD">
        <w:rPr>
          <w:rFonts w:ascii="Calibri" w:hAnsi="Calibri" w:cs="Arial"/>
          <w:b/>
          <w:color w:val="0A456B"/>
          <w:szCs w:val="24"/>
        </w:rPr>
        <w:t xml:space="preserve">on </w:t>
      </w:r>
      <w:r w:rsidR="009F108E" w:rsidRPr="00BD7ABD">
        <w:rPr>
          <w:rFonts w:ascii="Calibri" w:hAnsi="Calibri" w:cs="Arial"/>
          <w:b/>
          <w:color w:val="0A456B"/>
          <w:szCs w:val="24"/>
        </w:rPr>
        <w:t>your</w:t>
      </w:r>
      <w:r w:rsidRPr="00BD7ABD">
        <w:rPr>
          <w:rFonts w:ascii="Calibri" w:hAnsi="Calibri" w:cs="Arial"/>
          <w:b/>
          <w:color w:val="0A456B"/>
          <w:szCs w:val="24"/>
        </w:rPr>
        <w:t xml:space="preserve"> UCAS application form</w:t>
      </w:r>
      <w:r w:rsidR="00C47175" w:rsidRPr="00BD7ABD">
        <w:rPr>
          <w:rFonts w:ascii="Calibri" w:hAnsi="Calibri" w:cs="Arial"/>
          <w:b/>
          <w:color w:val="0A456B"/>
          <w:szCs w:val="24"/>
        </w:rPr>
        <w:t>.</w:t>
      </w:r>
    </w:p>
    <w:p w:rsidR="00E73080" w:rsidRPr="00BD7ABD" w:rsidRDefault="00E73080" w:rsidP="00547C51">
      <w:pPr>
        <w:jc w:val="both"/>
        <w:rPr>
          <w:rFonts w:ascii="Calibri" w:hAnsi="Calibri" w:cs="Arial"/>
          <w:b/>
          <w:color w:val="0A456B"/>
          <w:szCs w:val="24"/>
        </w:rPr>
      </w:pPr>
    </w:p>
    <w:p w:rsidR="009F108E" w:rsidRPr="00DD0700" w:rsidRDefault="009F108E" w:rsidP="00547C51">
      <w:pPr>
        <w:jc w:val="both"/>
        <w:rPr>
          <w:rFonts w:ascii="Calibri" w:hAnsi="Calibri" w:cs="Arial"/>
          <w:b/>
          <w:color w:val="003082"/>
          <w:sz w:val="16"/>
          <w:szCs w:val="24"/>
        </w:rPr>
      </w:pPr>
    </w:p>
    <w:tbl>
      <w:tblPr>
        <w:tblW w:w="10317" w:type="dxa"/>
        <w:tblInd w:w="142" w:type="dxa"/>
        <w:tblBorders>
          <w:top w:val="single" w:sz="12" w:space="0" w:color="009543"/>
          <w:left w:val="single" w:sz="12" w:space="0" w:color="009543"/>
          <w:bottom w:val="single" w:sz="12" w:space="0" w:color="009543"/>
          <w:right w:val="single" w:sz="12" w:space="0" w:color="009543"/>
          <w:insideH w:val="single" w:sz="12" w:space="0" w:color="009543"/>
          <w:insideV w:val="single" w:sz="12" w:space="0" w:color="009543"/>
        </w:tblBorders>
        <w:tblLayout w:type="fixed"/>
        <w:tblCellMar>
          <w:top w:w="57" w:type="dxa"/>
          <w:left w:w="142" w:type="dxa"/>
        </w:tblCellMar>
        <w:tblLook w:val="0000" w:firstRow="0" w:lastRow="0" w:firstColumn="0" w:lastColumn="0" w:noHBand="0" w:noVBand="0"/>
      </w:tblPr>
      <w:tblGrid>
        <w:gridCol w:w="10317"/>
      </w:tblGrid>
      <w:tr w:rsidR="00070BD0" w:rsidRPr="00E65A89" w:rsidTr="00126AB1">
        <w:trPr>
          <w:trHeight w:val="1134"/>
        </w:trPr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E73080" w:rsidRDefault="00070BD0" w:rsidP="00243D45">
            <w:pPr>
              <w:spacing w:before="40"/>
              <w:ind w:right="142"/>
              <w:contextualSpacing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E73080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Objectives</w:t>
            </w:r>
          </w:p>
          <w:p w:rsidR="009F13D7" w:rsidRPr="009F13D7" w:rsidRDefault="009F13D7" w:rsidP="009F13D7">
            <w:pPr>
              <w:pStyle w:val="ListParagraph"/>
              <w:numPr>
                <w:ilvl w:val="0"/>
                <w:numId w:val="13"/>
              </w:numPr>
              <w:tabs>
                <w:tab w:val="left" w:pos="425"/>
              </w:tabs>
              <w:spacing w:before="60"/>
              <w:ind w:left="425" w:right="142" w:hanging="425"/>
              <w:contextualSpacing w:val="0"/>
              <w:jc w:val="both"/>
              <w:rPr>
                <w:rFonts w:ascii="Verdana" w:hAnsi="Verdana" w:cs="Calibri"/>
                <w:bCs/>
                <w:color w:val="0A456B"/>
                <w:spacing w:val="-3"/>
                <w:sz w:val="20"/>
              </w:rPr>
            </w:pPr>
            <w:r w:rsidRPr="009F13D7">
              <w:rPr>
                <w:rFonts w:ascii="Verdana" w:hAnsi="Verdana" w:cs="Calibri"/>
                <w:bCs/>
                <w:color w:val="0A456B"/>
                <w:spacing w:val="-3"/>
                <w:sz w:val="20"/>
              </w:rPr>
              <w:t>To challenge and engage students in biological concepts and topics they might not have been exposed to in their academic life, via different media</w:t>
            </w:r>
          </w:p>
          <w:p w:rsidR="009F13D7" w:rsidRPr="009F13D7" w:rsidRDefault="009F13D7" w:rsidP="009F13D7">
            <w:pPr>
              <w:pStyle w:val="ListParagraph"/>
              <w:numPr>
                <w:ilvl w:val="0"/>
                <w:numId w:val="13"/>
              </w:numPr>
              <w:tabs>
                <w:tab w:val="left" w:pos="425"/>
              </w:tabs>
              <w:spacing w:before="60"/>
              <w:ind w:left="425" w:right="142" w:hanging="425"/>
              <w:jc w:val="both"/>
              <w:rPr>
                <w:rFonts w:ascii="Verdana" w:hAnsi="Verdana" w:cs="Calibri"/>
                <w:bCs/>
                <w:color w:val="0A456B"/>
                <w:spacing w:val="-3"/>
                <w:sz w:val="20"/>
              </w:rPr>
            </w:pPr>
            <w:r w:rsidRPr="009F13D7">
              <w:rPr>
                <w:rFonts w:ascii="Verdana" w:hAnsi="Verdana" w:cs="Calibri"/>
                <w:bCs/>
                <w:color w:val="0A456B"/>
                <w:spacing w:val="-3"/>
                <w:sz w:val="20"/>
              </w:rPr>
              <w:t>To reinforce and build on the knowledge of Biology and Genetics which the students have gained from school</w:t>
            </w:r>
          </w:p>
          <w:p w:rsidR="009F13D7" w:rsidRPr="009F13D7" w:rsidRDefault="009F13D7" w:rsidP="009F13D7">
            <w:pPr>
              <w:pStyle w:val="ListParagraph"/>
              <w:numPr>
                <w:ilvl w:val="0"/>
                <w:numId w:val="13"/>
              </w:numPr>
              <w:tabs>
                <w:tab w:val="left" w:pos="425"/>
              </w:tabs>
              <w:spacing w:before="60"/>
              <w:ind w:left="425" w:right="142" w:hanging="425"/>
              <w:jc w:val="both"/>
              <w:rPr>
                <w:rFonts w:ascii="Verdana" w:hAnsi="Verdana" w:cs="Calibri"/>
                <w:bCs/>
                <w:color w:val="0A456B"/>
                <w:spacing w:val="-3"/>
                <w:sz w:val="20"/>
              </w:rPr>
            </w:pPr>
            <w:r w:rsidRPr="009F13D7">
              <w:rPr>
                <w:rFonts w:ascii="Verdana" w:hAnsi="Verdana" w:cs="Calibri"/>
                <w:bCs/>
                <w:color w:val="0A456B"/>
                <w:spacing w:val="-3"/>
                <w:sz w:val="20"/>
              </w:rPr>
              <w:t>To enable students to become confident in their ability to use transferable skills</w:t>
            </w:r>
          </w:p>
          <w:p w:rsidR="00070BD0" w:rsidRPr="009F13D7" w:rsidRDefault="004A308A" w:rsidP="009A7AE0">
            <w:pPr>
              <w:spacing w:before="6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9F13D7">
              <w:rPr>
                <w:rFonts w:ascii="Verdana" w:hAnsi="Verdana" w:cs="Calibri"/>
                <w:bCs/>
                <w:color w:val="0A456B"/>
                <w:spacing w:val="-3"/>
                <w:sz w:val="20"/>
              </w:rPr>
              <w:t>Students must be studying Biology at A-level.</w:t>
            </w:r>
          </w:p>
          <w:p w:rsidR="00070BD0" w:rsidRPr="00E65A89" w:rsidRDefault="00070BD0" w:rsidP="00052580">
            <w:pPr>
              <w:spacing w:before="40"/>
              <w:ind w:right="142"/>
              <w:contextualSpacing/>
              <w:jc w:val="both"/>
              <w:rPr>
                <w:rFonts w:ascii="Calibri" w:hAnsi="Calibri" w:cs="Calibri"/>
                <w:color w:val="003082"/>
                <w:sz w:val="16"/>
              </w:rPr>
            </w:pPr>
          </w:p>
        </w:tc>
      </w:tr>
      <w:tr w:rsidR="00070BD0" w:rsidRPr="00E65A89" w:rsidTr="00C6102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8C32AC" w:rsidRPr="00E73080" w:rsidRDefault="000B12D4" w:rsidP="00A14151">
            <w:pPr>
              <w:tabs>
                <w:tab w:val="right" w:pos="9840"/>
              </w:tabs>
              <w:ind w:right="142"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E73080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Format</w:t>
            </w:r>
          </w:p>
          <w:p w:rsidR="009F13D7" w:rsidRPr="009F13D7" w:rsidRDefault="009F13D7" w:rsidP="009F13D7">
            <w:pPr>
              <w:tabs>
                <w:tab w:val="left" w:pos="1440"/>
                <w:tab w:val="right" w:pos="9840"/>
              </w:tabs>
              <w:spacing w:before="6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9F13D7">
              <w:rPr>
                <w:rFonts w:ascii="Verdana" w:hAnsi="Verdana" w:cs="Calibri"/>
                <w:color w:val="0A456B"/>
                <w:sz w:val="20"/>
              </w:rPr>
              <w:t>The course will be delivered using a variety of methods, including interactive lectures, experimental work, group discussions and study orientated towards presentations.</w:t>
            </w:r>
            <w:r>
              <w:rPr>
                <w:rFonts w:ascii="Verdana" w:hAnsi="Verdana" w:cs="Calibri"/>
                <w:color w:val="0A456B"/>
                <w:sz w:val="20"/>
              </w:rPr>
              <w:t xml:space="preserve"> There will also be a visiting guest speaker and an external visit</w:t>
            </w:r>
          </w:p>
          <w:p w:rsidR="009F13D7" w:rsidRDefault="009F13D7" w:rsidP="009F13D7">
            <w:pPr>
              <w:tabs>
                <w:tab w:val="left" w:pos="1440"/>
                <w:tab w:val="right" w:pos="9840"/>
              </w:tabs>
              <w:spacing w:before="6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</w:p>
          <w:p w:rsidR="009F13D7" w:rsidRPr="009F13D7" w:rsidRDefault="009F13D7" w:rsidP="009F13D7">
            <w:pPr>
              <w:tabs>
                <w:tab w:val="left" w:pos="1440"/>
                <w:tab w:val="right" w:pos="9840"/>
              </w:tabs>
              <w:spacing w:before="6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9F13D7">
              <w:rPr>
                <w:rFonts w:ascii="Verdana" w:hAnsi="Verdana" w:cs="Calibri"/>
                <w:color w:val="0A456B"/>
                <w:sz w:val="20"/>
              </w:rPr>
              <w:t>Please see the sample programme overleaf although the course content may change.</w:t>
            </w:r>
          </w:p>
          <w:p w:rsidR="00070BD0" w:rsidRPr="00E65A89" w:rsidRDefault="00070BD0" w:rsidP="008406C1">
            <w:pPr>
              <w:tabs>
                <w:tab w:val="left" w:pos="1440"/>
                <w:tab w:val="right" w:pos="9840"/>
              </w:tabs>
              <w:spacing w:before="40"/>
              <w:ind w:right="142"/>
              <w:jc w:val="both"/>
              <w:rPr>
                <w:rFonts w:ascii="Calibri" w:hAnsi="Calibri" w:cs="Calibri"/>
                <w:color w:val="003082"/>
                <w:sz w:val="16"/>
              </w:rPr>
            </w:pPr>
          </w:p>
        </w:tc>
      </w:tr>
      <w:tr w:rsidR="00070BD0" w:rsidRPr="00E65A89" w:rsidTr="00126AB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F8393D" w:rsidRDefault="009F108E" w:rsidP="00243D45">
            <w:pPr>
              <w:tabs>
                <w:tab w:val="right" w:pos="9840"/>
              </w:tabs>
              <w:ind w:right="142"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F8393D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T</w:t>
            </w:r>
            <w:r w:rsidR="000B12D4" w:rsidRPr="00F8393D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utors</w:t>
            </w:r>
          </w:p>
          <w:p w:rsidR="00070BD0" w:rsidRPr="00F8393D" w:rsidRDefault="00052580" w:rsidP="00C558DB">
            <w:pPr>
              <w:widowControl w:val="0"/>
              <w:tabs>
                <w:tab w:val="left" w:pos="-720"/>
              </w:tabs>
              <w:suppressAutoHyphens/>
              <w:spacing w:before="60" w:after="12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color w:val="0A456B"/>
                <w:sz w:val="20"/>
              </w:rPr>
              <w:t>Guy Sutton is Director of Medical Biology Interactive (MBI) and an Honorary Lecturer in Neuroscience at the Universit</w:t>
            </w:r>
            <w:r w:rsidR="00FE27F5" w:rsidRPr="00F8393D">
              <w:rPr>
                <w:rFonts w:ascii="Verdana" w:hAnsi="Verdana" w:cs="Calibri"/>
                <w:color w:val="0A456B"/>
                <w:sz w:val="20"/>
              </w:rPr>
              <w:t>y of Nottingham Medical School.</w:t>
            </w:r>
            <w:r w:rsidRPr="00F8393D">
              <w:rPr>
                <w:rFonts w:ascii="Verdana" w:hAnsi="Verdana" w:cs="Calibri"/>
                <w:color w:val="0A456B"/>
                <w:sz w:val="20"/>
              </w:rPr>
              <w:t xml:space="preserve"> He completed his first degree and PhD at the University of Cambridge.</w:t>
            </w:r>
          </w:p>
          <w:p w:rsidR="002324F9" w:rsidRDefault="002324F9" w:rsidP="002324F9">
            <w:pPr>
              <w:tabs>
                <w:tab w:val="right" w:pos="9840"/>
              </w:tabs>
              <w:spacing w:before="60"/>
              <w:jc w:val="both"/>
              <w:rPr>
                <w:rFonts w:ascii="Verdana" w:hAnsi="Verdana"/>
                <w:color w:val="0A456B"/>
                <w:sz w:val="20"/>
              </w:rPr>
            </w:pPr>
            <w:r>
              <w:rPr>
                <w:rFonts w:ascii="Verdana" w:hAnsi="Verdana"/>
                <w:color w:val="0A456B"/>
                <w:sz w:val="20"/>
              </w:rPr>
              <w:t>Kimberley Hirst-Jones completed her first degree in Biological Sciences at UEA and is currently studying for a PhD in the Biomedical Sciences at the Norwich Medical School.</w:t>
            </w:r>
          </w:p>
          <w:p w:rsidR="00070BD0" w:rsidRPr="00E65A89" w:rsidRDefault="00070BD0" w:rsidP="00435F6D">
            <w:pPr>
              <w:widowControl w:val="0"/>
              <w:tabs>
                <w:tab w:val="left" w:pos="-720"/>
              </w:tabs>
              <w:suppressAutoHyphens/>
              <w:spacing w:before="60"/>
              <w:ind w:right="142"/>
              <w:jc w:val="both"/>
              <w:rPr>
                <w:rFonts w:ascii="Calibri" w:hAnsi="Calibri" w:cs="Calibri"/>
                <w:b/>
                <w:color w:val="003082"/>
                <w:sz w:val="16"/>
              </w:rPr>
            </w:pPr>
          </w:p>
        </w:tc>
      </w:tr>
      <w:tr w:rsidR="00070BD0" w:rsidRPr="00E65A89" w:rsidTr="00126AB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243D45" w:rsidRPr="00E73080" w:rsidRDefault="00416D04" w:rsidP="00243D45">
            <w:pPr>
              <w:tabs>
                <w:tab w:val="left" w:pos="1023"/>
                <w:tab w:val="right" w:pos="9840"/>
              </w:tabs>
              <w:ind w:right="142"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E73080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Details</w:t>
            </w:r>
          </w:p>
          <w:p w:rsidR="00BD7ABD" w:rsidRPr="00F8393D" w:rsidRDefault="00070BD0" w:rsidP="008406C1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Date:</w:t>
            </w: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ab/>
            </w:r>
            <w:r w:rsidR="009F13D7">
              <w:rPr>
                <w:rFonts w:ascii="Verdana" w:hAnsi="Verdana" w:cs="Calibri"/>
                <w:b/>
                <w:color w:val="0A456B"/>
                <w:sz w:val="20"/>
              </w:rPr>
              <w:t>Monday 21 to Friday 25 October</w:t>
            </w:r>
            <w:r w:rsidR="00BD7ABD" w:rsidRPr="00F8393D">
              <w:rPr>
                <w:rFonts w:ascii="Verdana" w:hAnsi="Verdana" w:cs="Calibri"/>
                <w:b/>
                <w:color w:val="0A456B"/>
                <w:sz w:val="20"/>
              </w:rPr>
              <w:t xml:space="preserve"> 2019</w:t>
            </w:r>
          </w:p>
          <w:p w:rsidR="00070BD0" w:rsidRPr="00F8393D" w:rsidRDefault="00070BD0" w:rsidP="008406C1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Venue:</w:t>
            </w:r>
            <w:r w:rsidRPr="00F8393D">
              <w:rPr>
                <w:rFonts w:ascii="Verdana" w:hAnsi="Verdana" w:cs="Calibri"/>
                <w:b/>
                <w:color w:val="0A456B"/>
                <w:sz w:val="20"/>
              </w:rPr>
              <w:tab/>
              <w:t>The Cambridge Centre at Villiers Park, Foxton</w:t>
            </w:r>
          </w:p>
          <w:p w:rsidR="00070BD0" w:rsidRPr="00F8393D" w:rsidRDefault="00070BD0" w:rsidP="008406C1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Ref:</w:t>
            </w:r>
            <w:r w:rsidRPr="00F8393D">
              <w:rPr>
                <w:rFonts w:ascii="Verdana" w:hAnsi="Verdana" w:cs="Calibri"/>
                <w:color w:val="0A456B"/>
                <w:sz w:val="20"/>
              </w:rPr>
              <w:tab/>
            </w:r>
            <w:r w:rsidR="009F13D7">
              <w:rPr>
                <w:rFonts w:ascii="Verdana" w:hAnsi="Verdana" w:cs="Calibri"/>
                <w:b/>
                <w:color w:val="0A456B"/>
                <w:sz w:val="20"/>
              </w:rPr>
              <w:t>Biology: Cell Biology and Genetics</w:t>
            </w:r>
            <w:r w:rsidR="00F8393D">
              <w:rPr>
                <w:rFonts w:ascii="Verdana" w:hAnsi="Verdana" w:cs="Calibri"/>
                <w:b/>
                <w:color w:val="0A456B"/>
                <w:sz w:val="20"/>
              </w:rPr>
              <w:t xml:space="preserve"> – 20</w:t>
            </w:r>
            <w:r w:rsidR="007A33BC" w:rsidRPr="00F8393D">
              <w:rPr>
                <w:rFonts w:ascii="Verdana" w:hAnsi="Verdana" w:cs="Calibri"/>
                <w:b/>
                <w:color w:val="0A456B"/>
                <w:sz w:val="20"/>
              </w:rPr>
              <w:t>S00</w:t>
            </w:r>
            <w:r w:rsidR="009F13D7">
              <w:rPr>
                <w:rFonts w:ascii="Verdana" w:hAnsi="Verdana" w:cs="Calibri"/>
                <w:b/>
                <w:color w:val="0A456B"/>
                <w:sz w:val="20"/>
              </w:rPr>
              <w:t>5</w:t>
            </w:r>
          </w:p>
          <w:p w:rsidR="00070BD0" w:rsidRDefault="00C8308F" w:rsidP="007F5D38">
            <w:pPr>
              <w:tabs>
                <w:tab w:val="left" w:pos="851"/>
              </w:tabs>
              <w:spacing w:before="40"/>
              <w:ind w:left="851" w:right="142" w:hanging="851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Cost:</w:t>
            </w: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ab/>
            </w:r>
            <w:r w:rsidRPr="00F8393D">
              <w:rPr>
                <w:rFonts w:ascii="Verdana" w:hAnsi="Verdana" w:cs="Calibri"/>
                <w:b/>
                <w:color w:val="0A456B"/>
                <w:sz w:val="20"/>
              </w:rPr>
              <w:t>£</w:t>
            </w:r>
            <w:r w:rsidR="007F5D38" w:rsidRPr="00F8393D">
              <w:rPr>
                <w:rFonts w:ascii="Verdana" w:hAnsi="Verdana" w:cs="Calibri"/>
                <w:b/>
                <w:color w:val="0A456B"/>
                <w:sz w:val="20"/>
              </w:rPr>
              <w:t>325</w:t>
            </w:r>
            <w:r w:rsidRPr="00F8393D">
              <w:rPr>
                <w:rFonts w:ascii="Verdana" w:hAnsi="Verdana" w:cs="Calibri"/>
                <w:b/>
                <w:color w:val="0A456B"/>
                <w:sz w:val="20"/>
              </w:rPr>
              <w:t xml:space="preserve"> to include accommodation, meals, course materials (students at fee paying schools will need to pay the full cost of £7</w:t>
            </w:r>
            <w:r w:rsidR="0007109C" w:rsidRPr="00F8393D">
              <w:rPr>
                <w:rFonts w:ascii="Verdana" w:hAnsi="Verdana" w:cs="Calibri"/>
                <w:b/>
                <w:color w:val="0A456B"/>
                <w:sz w:val="20"/>
              </w:rPr>
              <w:t>39</w:t>
            </w:r>
            <w:r w:rsidRPr="00F8393D">
              <w:rPr>
                <w:rFonts w:ascii="Verdana" w:hAnsi="Verdana" w:cs="Calibri"/>
                <w:b/>
                <w:color w:val="0A456B"/>
                <w:sz w:val="20"/>
              </w:rPr>
              <w:t>)</w:t>
            </w:r>
          </w:p>
          <w:p w:rsidR="00E73080" w:rsidRPr="00F8393D" w:rsidRDefault="00E73080" w:rsidP="007F5D38">
            <w:pPr>
              <w:tabs>
                <w:tab w:val="left" w:pos="851"/>
              </w:tabs>
              <w:spacing w:before="40"/>
              <w:ind w:left="851" w:right="142" w:hanging="851"/>
              <w:jc w:val="both"/>
              <w:rPr>
                <w:rFonts w:ascii="Verdana" w:hAnsi="Verdana" w:cs="Calibri"/>
                <w:color w:val="0A456B"/>
                <w:sz w:val="20"/>
              </w:rPr>
            </w:pPr>
          </w:p>
        </w:tc>
      </w:tr>
      <w:tr w:rsidR="009A7AE0" w:rsidRPr="00E65A89" w:rsidTr="00126AB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9A7AE0" w:rsidRPr="009833CF" w:rsidRDefault="009A7AE0" w:rsidP="00EA7E0D">
            <w:pPr>
              <w:tabs>
                <w:tab w:val="left" w:pos="1440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sz w:val="20"/>
              </w:rPr>
            </w:pPr>
            <w:r w:rsidRPr="00F8393D">
              <w:rPr>
                <w:rFonts w:ascii="Verdana" w:hAnsi="Verdana" w:cs="Calibri"/>
                <w:color w:val="0A456B"/>
                <w:sz w:val="20"/>
              </w:rPr>
              <w:t xml:space="preserve">Please complete the application form and return to Villiers Park by </w:t>
            </w:r>
            <w:r w:rsidR="009833CF" w:rsidRPr="009833CF">
              <w:rPr>
                <w:rFonts w:ascii="Verdana" w:hAnsi="Verdana" w:cs="Calibri"/>
                <w:b/>
                <w:color w:val="A03F62"/>
                <w:sz w:val="20"/>
              </w:rPr>
              <w:t>Applications are still open</w:t>
            </w:r>
          </w:p>
          <w:p w:rsidR="009A7AE0" w:rsidRPr="00F8393D" w:rsidRDefault="009A7AE0" w:rsidP="00EA7E0D">
            <w:pPr>
              <w:tabs>
                <w:tab w:val="left" w:pos="1440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color w:val="0A456B"/>
                <w:sz w:val="20"/>
              </w:rPr>
              <w:t xml:space="preserve">For more information contact us on 01223 872601 or vp@villierspark.org.uk </w:t>
            </w:r>
          </w:p>
          <w:p w:rsidR="00F8393D" w:rsidRDefault="009833CF" w:rsidP="00F8393D">
            <w:pPr>
              <w:tabs>
                <w:tab w:val="left" w:pos="7371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hyperlink r:id="rId7" w:history="1">
              <w:r w:rsidR="00F8393D" w:rsidRPr="000A1D0C">
                <w:rPr>
                  <w:rStyle w:val="Hyperlink"/>
                  <w:rFonts w:ascii="Verdana" w:hAnsi="Verdana" w:cs="Calibri"/>
                  <w:sz w:val="20"/>
                </w:rPr>
                <w:t>www.villierspark.org.uk</w:t>
              </w:r>
            </w:hyperlink>
          </w:p>
          <w:p w:rsidR="009A7AE0" w:rsidRPr="00F8393D" w:rsidRDefault="009A7AE0" w:rsidP="00F8393D">
            <w:pPr>
              <w:tabs>
                <w:tab w:val="left" w:pos="7371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color w:val="0A456B"/>
                <w:sz w:val="20"/>
              </w:rPr>
              <w:tab/>
            </w:r>
          </w:p>
        </w:tc>
        <w:bookmarkStart w:id="0" w:name="_GoBack"/>
        <w:bookmarkEnd w:id="0"/>
      </w:tr>
    </w:tbl>
    <w:p w:rsidR="00D77E16" w:rsidRPr="00E65A89" w:rsidRDefault="00D77E16" w:rsidP="00D47528">
      <w:pPr>
        <w:rPr>
          <w:rFonts w:ascii="Calibri" w:hAnsi="Calibri"/>
        </w:rPr>
      </w:pPr>
    </w:p>
    <w:sectPr w:rsidR="00D77E16" w:rsidRPr="00E65A89" w:rsidSect="00940345">
      <w:headerReference w:type="default" r:id="rId8"/>
      <w:pgSz w:w="11906" w:h="16838" w:code="9"/>
      <w:pgMar w:top="2127" w:right="936" w:bottom="284" w:left="765" w:header="0" w:footer="0" w:gutter="0"/>
      <w:paperSrc w:first="272" w:other="27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EB" w:rsidRDefault="00AA4BEB">
      <w:r>
        <w:separator/>
      </w:r>
    </w:p>
  </w:endnote>
  <w:endnote w:type="continuationSeparator" w:id="0">
    <w:p w:rsidR="00AA4BEB" w:rsidRDefault="00AA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EB" w:rsidRDefault="00AA4BEB">
      <w:r>
        <w:separator/>
      </w:r>
    </w:p>
  </w:footnote>
  <w:footnote w:type="continuationSeparator" w:id="0">
    <w:p w:rsidR="00AA4BEB" w:rsidRDefault="00AA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93" w:rsidRDefault="00115193">
    <w:pPr>
      <w:pStyle w:val="Header"/>
    </w:pPr>
  </w:p>
  <w:p w:rsidR="00940345" w:rsidRDefault="00940345" w:rsidP="00940345">
    <w:pPr>
      <w:jc w:val="right"/>
    </w:pPr>
    <w:r>
      <w:rPr>
        <w:noProof/>
        <w:lang w:eastAsia="en-GB"/>
      </w:rPr>
      <w:drawing>
        <wp:inline distT="0" distB="0" distL="0" distR="0">
          <wp:extent cx="2418461" cy="914400"/>
          <wp:effectExtent l="0" t="0" r="127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609" cy="92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EA8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909CC"/>
    <w:multiLevelType w:val="hybridMultilevel"/>
    <w:tmpl w:val="2708A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7075"/>
    <w:multiLevelType w:val="hybridMultilevel"/>
    <w:tmpl w:val="308A683C"/>
    <w:lvl w:ilvl="0" w:tplc="9DE033F2">
      <w:start w:val="1"/>
      <w:numFmt w:val="bullet"/>
      <w:lvlText w:val="o"/>
      <w:lvlJc w:val="left"/>
      <w:pPr>
        <w:tabs>
          <w:tab w:val="num" w:pos="454"/>
        </w:tabs>
        <w:ind w:left="737" w:hanging="73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5E88"/>
    <w:multiLevelType w:val="hybridMultilevel"/>
    <w:tmpl w:val="C84E0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E1A9B"/>
    <w:multiLevelType w:val="hybridMultilevel"/>
    <w:tmpl w:val="FE6AF6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F18C3"/>
    <w:multiLevelType w:val="hybridMultilevel"/>
    <w:tmpl w:val="2FC035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A57C8"/>
    <w:multiLevelType w:val="hybridMultilevel"/>
    <w:tmpl w:val="DA405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2CB1"/>
    <w:multiLevelType w:val="hybridMultilevel"/>
    <w:tmpl w:val="6520F8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33D17"/>
    <w:multiLevelType w:val="hybridMultilevel"/>
    <w:tmpl w:val="C20608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03203"/>
    <w:multiLevelType w:val="hybridMultilevel"/>
    <w:tmpl w:val="9ED873C6"/>
    <w:lvl w:ilvl="0" w:tplc="9DE033F2">
      <w:start w:val="1"/>
      <w:numFmt w:val="bullet"/>
      <w:lvlText w:val="o"/>
      <w:lvlJc w:val="left"/>
      <w:pPr>
        <w:tabs>
          <w:tab w:val="num" w:pos="454"/>
        </w:tabs>
        <w:ind w:left="737" w:hanging="73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E5294"/>
    <w:multiLevelType w:val="hybridMultilevel"/>
    <w:tmpl w:val="7C24D9B8"/>
    <w:lvl w:ilvl="0" w:tplc="9DE033F2">
      <w:start w:val="1"/>
      <w:numFmt w:val="bullet"/>
      <w:lvlText w:val="o"/>
      <w:lvlJc w:val="left"/>
      <w:pPr>
        <w:tabs>
          <w:tab w:val="num" w:pos="454"/>
        </w:tabs>
        <w:ind w:left="737" w:hanging="73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A0A6C"/>
    <w:multiLevelType w:val="hybridMultilevel"/>
    <w:tmpl w:val="37D0957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0E"/>
    <w:rsid w:val="00017502"/>
    <w:rsid w:val="0004622B"/>
    <w:rsid w:val="00052580"/>
    <w:rsid w:val="000578A8"/>
    <w:rsid w:val="00062009"/>
    <w:rsid w:val="000641A0"/>
    <w:rsid w:val="00065F15"/>
    <w:rsid w:val="00070BD0"/>
    <w:rsid w:val="0007109C"/>
    <w:rsid w:val="00071A7D"/>
    <w:rsid w:val="000725EE"/>
    <w:rsid w:val="00083E05"/>
    <w:rsid w:val="000B12D4"/>
    <w:rsid w:val="000B62A1"/>
    <w:rsid w:val="000C3775"/>
    <w:rsid w:val="00107C74"/>
    <w:rsid w:val="00115193"/>
    <w:rsid w:val="00126AB1"/>
    <w:rsid w:val="001358B4"/>
    <w:rsid w:val="001449A5"/>
    <w:rsid w:val="00150630"/>
    <w:rsid w:val="0018500F"/>
    <w:rsid w:val="001C6D31"/>
    <w:rsid w:val="001D6157"/>
    <w:rsid w:val="001F15D4"/>
    <w:rsid w:val="0021694F"/>
    <w:rsid w:val="002324F9"/>
    <w:rsid w:val="002348CE"/>
    <w:rsid w:val="00243D45"/>
    <w:rsid w:val="00255454"/>
    <w:rsid w:val="00255472"/>
    <w:rsid w:val="00274076"/>
    <w:rsid w:val="002910DF"/>
    <w:rsid w:val="002A7823"/>
    <w:rsid w:val="002C58A9"/>
    <w:rsid w:val="002D6913"/>
    <w:rsid w:val="002F4B7E"/>
    <w:rsid w:val="00310A59"/>
    <w:rsid w:val="00310D71"/>
    <w:rsid w:val="00312B69"/>
    <w:rsid w:val="00315E09"/>
    <w:rsid w:val="003258DF"/>
    <w:rsid w:val="00341C08"/>
    <w:rsid w:val="00363A32"/>
    <w:rsid w:val="003E550E"/>
    <w:rsid w:val="00416D04"/>
    <w:rsid w:val="00435F6D"/>
    <w:rsid w:val="004401F9"/>
    <w:rsid w:val="004431C9"/>
    <w:rsid w:val="0046334C"/>
    <w:rsid w:val="0046428E"/>
    <w:rsid w:val="00475FC3"/>
    <w:rsid w:val="004820B8"/>
    <w:rsid w:val="004A1D1A"/>
    <w:rsid w:val="004A308A"/>
    <w:rsid w:val="004B12D3"/>
    <w:rsid w:val="005108D1"/>
    <w:rsid w:val="005172FE"/>
    <w:rsid w:val="00522509"/>
    <w:rsid w:val="0052456C"/>
    <w:rsid w:val="00533435"/>
    <w:rsid w:val="00547C51"/>
    <w:rsid w:val="00577B15"/>
    <w:rsid w:val="00584823"/>
    <w:rsid w:val="005B309E"/>
    <w:rsid w:val="0060186C"/>
    <w:rsid w:val="00607A4F"/>
    <w:rsid w:val="006237B8"/>
    <w:rsid w:val="00652934"/>
    <w:rsid w:val="00665148"/>
    <w:rsid w:val="006728D8"/>
    <w:rsid w:val="006835C4"/>
    <w:rsid w:val="006D7754"/>
    <w:rsid w:val="006F5AAA"/>
    <w:rsid w:val="007325C5"/>
    <w:rsid w:val="00743FCD"/>
    <w:rsid w:val="00761629"/>
    <w:rsid w:val="007965BA"/>
    <w:rsid w:val="007A33BC"/>
    <w:rsid w:val="007C632F"/>
    <w:rsid w:val="007C7E8C"/>
    <w:rsid w:val="007E19A7"/>
    <w:rsid w:val="007F5D38"/>
    <w:rsid w:val="008044E9"/>
    <w:rsid w:val="00807EA0"/>
    <w:rsid w:val="008406C1"/>
    <w:rsid w:val="00851F94"/>
    <w:rsid w:val="00855388"/>
    <w:rsid w:val="00860C63"/>
    <w:rsid w:val="00867BE3"/>
    <w:rsid w:val="008745FE"/>
    <w:rsid w:val="00883EBF"/>
    <w:rsid w:val="0089446B"/>
    <w:rsid w:val="008A2498"/>
    <w:rsid w:val="008A6313"/>
    <w:rsid w:val="008C2B94"/>
    <w:rsid w:val="008C32AC"/>
    <w:rsid w:val="008F5B3D"/>
    <w:rsid w:val="009221AF"/>
    <w:rsid w:val="00937F40"/>
    <w:rsid w:val="00940345"/>
    <w:rsid w:val="009450B2"/>
    <w:rsid w:val="009514DA"/>
    <w:rsid w:val="00961526"/>
    <w:rsid w:val="00961D02"/>
    <w:rsid w:val="00962C5F"/>
    <w:rsid w:val="009800D4"/>
    <w:rsid w:val="009833CF"/>
    <w:rsid w:val="009867B9"/>
    <w:rsid w:val="009972E9"/>
    <w:rsid w:val="009A0B7C"/>
    <w:rsid w:val="009A7AE0"/>
    <w:rsid w:val="009F108E"/>
    <w:rsid w:val="009F13D7"/>
    <w:rsid w:val="009F1478"/>
    <w:rsid w:val="009F7A99"/>
    <w:rsid w:val="00A01D2B"/>
    <w:rsid w:val="00A14151"/>
    <w:rsid w:val="00A1633E"/>
    <w:rsid w:val="00A35580"/>
    <w:rsid w:val="00A46071"/>
    <w:rsid w:val="00AA189F"/>
    <w:rsid w:val="00AA4BEB"/>
    <w:rsid w:val="00B939F3"/>
    <w:rsid w:val="00BB2B4C"/>
    <w:rsid w:val="00BD7ABD"/>
    <w:rsid w:val="00BF34B4"/>
    <w:rsid w:val="00BF5797"/>
    <w:rsid w:val="00C003D2"/>
    <w:rsid w:val="00C01002"/>
    <w:rsid w:val="00C127D8"/>
    <w:rsid w:val="00C24C01"/>
    <w:rsid w:val="00C442A8"/>
    <w:rsid w:val="00C44F98"/>
    <w:rsid w:val="00C47175"/>
    <w:rsid w:val="00C47D61"/>
    <w:rsid w:val="00C558DB"/>
    <w:rsid w:val="00C61021"/>
    <w:rsid w:val="00C634EB"/>
    <w:rsid w:val="00C82B87"/>
    <w:rsid w:val="00C8308F"/>
    <w:rsid w:val="00C8655A"/>
    <w:rsid w:val="00C90E78"/>
    <w:rsid w:val="00C941F6"/>
    <w:rsid w:val="00CA1927"/>
    <w:rsid w:val="00CA4DB4"/>
    <w:rsid w:val="00CE1138"/>
    <w:rsid w:val="00CF3821"/>
    <w:rsid w:val="00CF475E"/>
    <w:rsid w:val="00CF4EFF"/>
    <w:rsid w:val="00D40A28"/>
    <w:rsid w:val="00D47528"/>
    <w:rsid w:val="00D74C6B"/>
    <w:rsid w:val="00D77E16"/>
    <w:rsid w:val="00D960A9"/>
    <w:rsid w:val="00DB64E3"/>
    <w:rsid w:val="00DD0700"/>
    <w:rsid w:val="00DD517E"/>
    <w:rsid w:val="00DD75F5"/>
    <w:rsid w:val="00DE133A"/>
    <w:rsid w:val="00DE781E"/>
    <w:rsid w:val="00E127F7"/>
    <w:rsid w:val="00E25745"/>
    <w:rsid w:val="00E34FC6"/>
    <w:rsid w:val="00E65A89"/>
    <w:rsid w:val="00E73080"/>
    <w:rsid w:val="00E738F3"/>
    <w:rsid w:val="00E80187"/>
    <w:rsid w:val="00E909D0"/>
    <w:rsid w:val="00E91372"/>
    <w:rsid w:val="00EA11D4"/>
    <w:rsid w:val="00EA54C2"/>
    <w:rsid w:val="00EB5452"/>
    <w:rsid w:val="00ED7443"/>
    <w:rsid w:val="00F0651B"/>
    <w:rsid w:val="00F36B67"/>
    <w:rsid w:val="00F430D2"/>
    <w:rsid w:val="00F64BF1"/>
    <w:rsid w:val="00F77195"/>
    <w:rsid w:val="00F8393D"/>
    <w:rsid w:val="00F873E1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84872F6"/>
  <w15:docId w15:val="{1354B86D-D026-4E49-9733-5ACB2EEF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1151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19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1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19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F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llierspar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and Spanish American Literature, Culture and Society</vt:lpstr>
    </vt:vector>
  </TitlesOfParts>
  <Company>Villiers Park</Company>
  <LinksUpToDate>false</LinksUpToDate>
  <CharactersWithSpaces>1998</CharactersWithSpaces>
  <SharedDoc>false</SharedDoc>
  <HLinks>
    <vt:vector size="6" baseType="variant"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mailto:vp@villierspark.org.uk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and Spanish American Literature, Culture and Society</dc:title>
  <dc:creator>dr</dc:creator>
  <cp:lastModifiedBy>Deborah Richardson</cp:lastModifiedBy>
  <cp:revision>2</cp:revision>
  <cp:lastPrinted>2018-06-18T12:24:00Z</cp:lastPrinted>
  <dcterms:created xsi:type="dcterms:W3CDTF">2019-08-14T12:20:00Z</dcterms:created>
  <dcterms:modified xsi:type="dcterms:W3CDTF">2019-08-14T12:20:00Z</dcterms:modified>
</cp:coreProperties>
</file>