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4A" w:rsidRDefault="00BB6102" w:rsidP="006307F2">
      <w:pPr>
        <w:spacing w:after="227" w:line="259" w:lineRule="auto"/>
        <w:ind w:left="0" w:firstLine="0"/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2160000" cy="8172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02" w:rsidRDefault="00BB6102" w:rsidP="00BB6102">
      <w:pPr>
        <w:spacing w:after="227" w:line="259" w:lineRule="auto"/>
        <w:ind w:left="0" w:firstLine="0"/>
        <w:jc w:val="right"/>
        <w:rPr>
          <w:b/>
          <w:sz w:val="18"/>
          <w:szCs w:val="18"/>
        </w:rPr>
      </w:pPr>
    </w:p>
    <w:p w:rsidR="00071556" w:rsidRDefault="003A414A" w:rsidP="003A414A">
      <w:pPr>
        <w:spacing w:after="227" w:line="259" w:lineRule="auto"/>
        <w:ind w:left="0" w:firstLine="0"/>
        <w:jc w:val="left"/>
        <w:rPr>
          <w:rFonts w:ascii="Verdana" w:hAnsi="Verdana"/>
          <w:b/>
          <w:color w:val="087070"/>
          <w:szCs w:val="24"/>
        </w:rPr>
      </w:pPr>
      <w:r w:rsidRPr="00343C00">
        <w:rPr>
          <w:rFonts w:ascii="Verdana" w:hAnsi="Verdana"/>
          <w:b/>
          <w:color w:val="087070"/>
          <w:szCs w:val="24"/>
        </w:rPr>
        <w:t>Inspirin</w:t>
      </w:r>
      <w:r w:rsidR="00071556">
        <w:rPr>
          <w:rFonts w:ascii="Verdana" w:hAnsi="Verdana"/>
          <w:b/>
          <w:color w:val="087070"/>
          <w:szCs w:val="24"/>
        </w:rPr>
        <w:t xml:space="preserve">g Excellence Programme 2019 – 20020 </w:t>
      </w:r>
    </w:p>
    <w:p w:rsidR="00240F67" w:rsidRPr="00343C00" w:rsidRDefault="00071556" w:rsidP="003A414A">
      <w:pPr>
        <w:spacing w:after="227" w:line="259" w:lineRule="auto"/>
        <w:ind w:left="0" w:firstLine="0"/>
        <w:jc w:val="left"/>
        <w:rPr>
          <w:rFonts w:ascii="Verdana" w:hAnsi="Verdana"/>
          <w:color w:val="087070"/>
          <w:szCs w:val="24"/>
        </w:rPr>
      </w:pPr>
      <w:r>
        <w:rPr>
          <w:rFonts w:ascii="Verdana" w:hAnsi="Verdana"/>
          <w:b/>
          <w:color w:val="087070"/>
          <w:szCs w:val="24"/>
        </w:rPr>
        <w:t xml:space="preserve">Nomination Process </w:t>
      </w:r>
      <w:r w:rsidR="003A414A" w:rsidRPr="00343C00">
        <w:rPr>
          <w:rFonts w:ascii="Verdana" w:hAnsi="Verdana"/>
          <w:b/>
          <w:color w:val="087070"/>
          <w:szCs w:val="24"/>
        </w:rPr>
        <w:t xml:space="preserve">Guidance Sheet </w:t>
      </w:r>
    </w:p>
    <w:p w:rsidR="00240F67" w:rsidRPr="00BB6102" w:rsidRDefault="003A414A">
      <w:pPr>
        <w:spacing w:after="74"/>
        <w:ind w:left="-12" w:right="167" w:firstLine="0"/>
        <w:rPr>
          <w:rFonts w:ascii="Verdana" w:hAnsi="Verdana"/>
          <w:sz w:val="20"/>
          <w:szCs w:val="20"/>
        </w:rPr>
      </w:pPr>
      <w:r w:rsidRPr="006138CA">
        <w:rPr>
          <w:rFonts w:ascii="Verdana" w:hAnsi="Verdana"/>
          <w:sz w:val="20"/>
          <w:szCs w:val="20"/>
        </w:rPr>
        <w:t xml:space="preserve">We are pleased to provide information regarding </w:t>
      </w:r>
      <w:r w:rsidR="00640C45" w:rsidRPr="006138CA">
        <w:rPr>
          <w:rFonts w:ascii="Verdana" w:hAnsi="Verdana"/>
          <w:sz w:val="20"/>
          <w:szCs w:val="20"/>
        </w:rPr>
        <w:t xml:space="preserve">our programme of residential courses.  </w:t>
      </w:r>
      <w:r w:rsidR="00071556">
        <w:rPr>
          <w:rFonts w:ascii="Verdana" w:hAnsi="Verdana"/>
          <w:sz w:val="20"/>
          <w:szCs w:val="20"/>
        </w:rPr>
        <w:t xml:space="preserve">There will be two closing dates for courses. </w:t>
      </w:r>
      <w:r w:rsidR="00640C45" w:rsidRPr="00BB6102">
        <w:rPr>
          <w:rFonts w:ascii="Verdana" w:hAnsi="Verdana"/>
          <w:sz w:val="20"/>
          <w:szCs w:val="20"/>
        </w:rPr>
        <w:t xml:space="preserve"> The closing dates will be found on the individual course flyers.  However if the closing date </w:t>
      </w:r>
      <w:r w:rsidR="00071556">
        <w:rPr>
          <w:rFonts w:ascii="Verdana" w:hAnsi="Verdana"/>
          <w:sz w:val="20"/>
          <w:szCs w:val="20"/>
        </w:rPr>
        <w:t xml:space="preserve">has already passed do please </w:t>
      </w:r>
      <w:r w:rsidR="00640C45" w:rsidRPr="00BB6102">
        <w:rPr>
          <w:rFonts w:ascii="Verdana" w:hAnsi="Verdana"/>
          <w:sz w:val="20"/>
          <w:szCs w:val="20"/>
        </w:rPr>
        <w:t>contact us as sometimes places become available due to withdrawals.</w:t>
      </w:r>
    </w:p>
    <w:p w:rsidR="00640C45" w:rsidRPr="00BB6102" w:rsidRDefault="00640C45">
      <w:pPr>
        <w:spacing w:after="2" w:line="259" w:lineRule="auto"/>
        <w:ind w:left="-5" w:hanging="10"/>
        <w:jc w:val="left"/>
        <w:rPr>
          <w:rFonts w:ascii="Verdana" w:hAnsi="Verdana"/>
          <w:b/>
          <w:color w:val="008844"/>
          <w:sz w:val="20"/>
          <w:szCs w:val="20"/>
        </w:rPr>
      </w:pPr>
    </w:p>
    <w:p w:rsidR="00240F67" w:rsidRPr="00343C00" w:rsidRDefault="003A414A">
      <w:pPr>
        <w:spacing w:after="2" w:line="259" w:lineRule="auto"/>
        <w:ind w:left="-5" w:hanging="10"/>
        <w:jc w:val="left"/>
        <w:rPr>
          <w:rFonts w:ascii="Verdana" w:hAnsi="Verdana"/>
          <w:color w:val="087070"/>
          <w:sz w:val="22"/>
        </w:rPr>
      </w:pPr>
      <w:r w:rsidRPr="00343C00">
        <w:rPr>
          <w:rFonts w:ascii="Verdana" w:hAnsi="Verdana"/>
          <w:b/>
          <w:color w:val="087070"/>
          <w:sz w:val="22"/>
        </w:rPr>
        <w:t xml:space="preserve">Who are the courses for? </w:t>
      </w:r>
    </w:p>
    <w:p w:rsidR="00240F67" w:rsidRPr="00BB6102" w:rsidRDefault="003A414A">
      <w:pPr>
        <w:numPr>
          <w:ilvl w:val="0"/>
          <w:numId w:val="1"/>
        </w:numPr>
        <w:ind w:right="167" w:hanging="427"/>
        <w:rPr>
          <w:rFonts w:ascii="Verdana" w:hAnsi="Verdana"/>
          <w:sz w:val="20"/>
          <w:szCs w:val="20"/>
        </w:rPr>
      </w:pPr>
      <w:r w:rsidRPr="006138CA">
        <w:rPr>
          <w:rFonts w:ascii="Verdana" w:hAnsi="Verdana"/>
          <w:sz w:val="20"/>
          <w:szCs w:val="20"/>
        </w:rPr>
        <w:t xml:space="preserve">Courses are targeted at those students who have the potential to gain an </w:t>
      </w:r>
      <w:r w:rsidR="00C93CD8">
        <w:rPr>
          <w:rFonts w:ascii="Verdana" w:hAnsi="Verdana"/>
          <w:sz w:val="20"/>
          <w:szCs w:val="20"/>
        </w:rPr>
        <w:t>A* to B</w:t>
      </w:r>
      <w:r w:rsidRPr="006138CA">
        <w:rPr>
          <w:rFonts w:ascii="Verdana" w:hAnsi="Verdana"/>
          <w:sz w:val="20"/>
          <w:szCs w:val="20"/>
        </w:rPr>
        <w:t xml:space="preserve"> grade at A-</w:t>
      </w:r>
      <w:r w:rsidRPr="00BB6102">
        <w:rPr>
          <w:rFonts w:ascii="Verdana" w:hAnsi="Verdana"/>
          <w:sz w:val="20"/>
          <w:szCs w:val="20"/>
        </w:rPr>
        <w:t xml:space="preserve">level or equivalent </w:t>
      </w:r>
    </w:p>
    <w:p w:rsidR="00240F67" w:rsidRPr="00BB6102" w:rsidRDefault="003A414A">
      <w:pPr>
        <w:numPr>
          <w:ilvl w:val="0"/>
          <w:numId w:val="1"/>
        </w:numPr>
        <w:ind w:right="167" w:hanging="427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>The student should be planning to study the course subject at university</w:t>
      </w:r>
    </w:p>
    <w:p w:rsidR="00071556" w:rsidRPr="00071556" w:rsidRDefault="003A414A" w:rsidP="00071556">
      <w:pPr>
        <w:numPr>
          <w:ilvl w:val="0"/>
          <w:numId w:val="1"/>
        </w:numPr>
        <w:ind w:right="167" w:hanging="427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 xml:space="preserve">We are committed to supporting students from less advantaged backgrounds, in particular those students who will be the first generation in their families to go to university and/or whose household income is less than £33,000. Priority is given to these students and a number of places on each course are reserved for them. </w:t>
      </w:r>
      <w:r w:rsidR="00071556">
        <w:rPr>
          <w:rFonts w:ascii="Verdana" w:hAnsi="Verdana"/>
          <w:sz w:val="20"/>
          <w:szCs w:val="20"/>
        </w:rPr>
        <w:t>The course fee is subsidised by the Trustees of Villiers Park Educational Trust and other generous donors.</w:t>
      </w:r>
    </w:p>
    <w:p w:rsidR="00240F67" w:rsidRPr="00BB6102" w:rsidRDefault="00B62C36">
      <w:pPr>
        <w:numPr>
          <w:ilvl w:val="0"/>
          <w:numId w:val="1"/>
        </w:numPr>
        <w:spacing w:after="235"/>
        <w:ind w:right="167" w:hanging="427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 xml:space="preserve">We </w:t>
      </w:r>
      <w:r w:rsidR="003A414A" w:rsidRPr="00BB6102">
        <w:rPr>
          <w:rFonts w:ascii="Verdana" w:hAnsi="Verdana"/>
          <w:sz w:val="20"/>
          <w:szCs w:val="20"/>
        </w:rPr>
        <w:t xml:space="preserve">accept </w:t>
      </w:r>
      <w:r w:rsidRPr="00BB6102">
        <w:rPr>
          <w:rFonts w:ascii="Verdana" w:hAnsi="Verdana"/>
          <w:b/>
          <w:sz w:val="20"/>
          <w:szCs w:val="20"/>
        </w:rPr>
        <w:t>up to a maximum of</w:t>
      </w:r>
      <w:r w:rsidR="003A414A" w:rsidRPr="00BB6102">
        <w:rPr>
          <w:rFonts w:ascii="Verdana" w:hAnsi="Verdana"/>
          <w:b/>
          <w:sz w:val="20"/>
          <w:szCs w:val="20"/>
        </w:rPr>
        <w:t xml:space="preserve"> </w:t>
      </w:r>
      <w:r w:rsidRPr="00BB6102">
        <w:rPr>
          <w:rFonts w:ascii="Verdana" w:hAnsi="Verdana"/>
          <w:b/>
          <w:sz w:val="20"/>
          <w:szCs w:val="20"/>
        </w:rPr>
        <w:t xml:space="preserve">3 </w:t>
      </w:r>
      <w:r w:rsidR="003A414A" w:rsidRPr="00BB6102">
        <w:rPr>
          <w:rFonts w:ascii="Verdana" w:hAnsi="Verdana"/>
          <w:b/>
          <w:sz w:val="20"/>
          <w:szCs w:val="20"/>
        </w:rPr>
        <w:t>application</w:t>
      </w:r>
      <w:r w:rsidRPr="00BB6102">
        <w:rPr>
          <w:rFonts w:ascii="Verdana" w:hAnsi="Verdana"/>
          <w:b/>
          <w:sz w:val="20"/>
          <w:szCs w:val="20"/>
        </w:rPr>
        <w:t>s</w:t>
      </w:r>
      <w:r w:rsidR="003A414A" w:rsidRPr="00BB6102">
        <w:rPr>
          <w:rFonts w:ascii="Verdana" w:hAnsi="Verdana"/>
          <w:sz w:val="20"/>
          <w:szCs w:val="20"/>
        </w:rPr>
        <w:t xml:space="preserve"> from each school </w:t>
      </w:r>
      <w:r w:rsidR="003A414A" w:rsidRPr="00BB6102">
        <w:rPr>
          <w:rFonts w:ascii="Verdana" w:hAnsi="Verdana"/>
          <w:b/>
          <w:sz w:val="20"/>
          <w:szCs w:val="20"/>
        </w:rPr>
        <w:t>per course</w:t>
      </w:r>
      <w:r w:rsidR="003A414A" w:rsidRPr="00BB6102">
        <w:rPr>
          <w:rFonts w:ascii="Verdana" w:hAnsi="Verdana"/>
          <w:sz w:val="20"/>
          <w:szCs w:val="20"/>
        </w:rPr>
        <w:t xml:space="preserve">. </w:t>
      </w:r>
    </w:p>
    <w:p w:rsidR="00240F67" w:rsidRPr="00343C00" w:rsidRDefault="003A414A">
      <w:pPr>
        <w:spacing w:after="2" w:line="259" w:lineRule="auto"/>
        <w:ind w:left="-5" w:hanging="10"/>
        <w:jc w:val="left"/>
        <w:rPr>
          <w:rFonts w:ascii="Verdana" w:hAnsi="Verdana"/>
          <w:color w:val="087070"/>
          <w:sz w:val="22"/>
        </w:rPr>
      </w:pPr>
      <w:r w:rsidRPr="00343C00">
        <w:rPr>
          <w:rFonts w:ascii="Verdana" w:hAnsi="Verdana"/>
          <w:b/>
          <w:color w:val="087070"/>
          <w:sz w:val="22"/>
        </w:rPr>
        <w:t xml:space="preserve">What is the cost? </w:t>
      </w:r>
    </w:p>
    <w:p w:rsidR="00240F67" w:rsidRPr="00BB6102" w:rsidRDefault="003A414A">
      <w:pPr>
        <w:numPr>
          <w:ilvl w:val="0"/>
          <w:numId w:val="1"/>
        </w:numPr>
        <w:ind w:right="167" w:hanging="427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 xml:space="preserve">The </w:t>
      </w:r>
      <w:r w:rsidRPr="00BB6102">
        <w:rPr>
          <w:rFonts w:ascii="Verdana" w:hAnsi="Verdana"/>
          <w:b/>
          <w:sz w:val="20"/>
          <w:szCs w:val="20"/>
        </w:rPr>
        <w:t xml:space="preserve">cost per </w:t>
      </w:r>
      <w:r w:rsidR="000153B6" w:rsidRPr="00BB6102">
        <w:rPr>
          <w:rFonts w:ascii="Verdana" w:hAnsi="Verdana"/>
          <w:b/>
          <w:sz w:val="20"/>
          <w:szCs w:val="20"/>
        </w:rPr>
        <w:t>student is £325</w:t>
      </w:r>
      <w:r w:rsidRPr="00BB6102">
        <w:rPr>
          <w:rFonts w:ascii="Verdana" w:hAnsi="Verdana"/>
          <w:sz w:val="20"/>
          <w:szCs w:val="20"/>
        </w:rPr>
        <w:t>, this covers teaching, accommodation, meals and a trip (if applicable) from arrival to departure.</w:t>
      </w:r>
      <w:r w:rsidRPr="00BB6102">
        <w:rPr>
          <w:rFonts w:ascii="Verdana" w:hAnsi="Verdana"/>
          <w:b/>
          <w:sz w:val="20"/>
          <w:szCs w:val="20"/>
        </w:rPr>
        <w:t xml:space="preserve"> </w:t>
      </w:r>
    </w:p>
    <w:p w:rsidR="00240F67" w:rsidRPr="00BB6102" w:rsidRDefault="003A414A">
      <w:pPr>
        <w:numPr>
          <w:ilvl w:val="0"/>
          <w:numId w:val="1"/>
        </w:numPr>
        <w:ind w:right="167" w:hanging="427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 xml:space="preserve">We ask for </w:t>
      </w:r>
      <w:r w:rsidRPr="00BB6102">
        <w:rPr>
          <w:rFonts w:ascii="Verdana" w:hAnsi="Verdana"/>
          <w:b/>
          <w:sz w:val="20"/>
          <w:szCs w:val="20"/>
        </w:rPr>
        <w:t>payment</w:t>
      </w:r>
      <w:r w:rsidRPr="00BB6102">
        <w:rPr>
          <w:rFonts w:ascii="Verdana" w:hAnsi="Verdana"/>
          <w:sz w:val="20"/>
          <w:szCs w:val="20"/>
        </w:rPr>
        <w:t xml:space="preserve"> of our courses within 30 days of the date of the invoice or immediately if the course takes place within 30 days</w:t>
      </w:r>
      <w:r w:rsidR="00C93CD8">
        <w:rPr>
          <w:rFonts w:ascii="Verdana" w:hAnsi="Verdana"/>
          <w:sz w:val="20"/>
          <w:szCs w:val="20"/>
        </w:rPr>
        <w:t>.</w:t>
      </w:r>
      <w:r w:rsidR="00C93CD8">
        <w:rPr>
          <w:rFonts w:ascii="Verdana" w:hAnsi="Verdana"/>
          <w:b/>
          <w:sz w:val="20"/>
          <w:szCs w:val="20"/>
        </w:rPr>
        <w:t xml:space="preserve">  </w:t>
      </w:r>
      <w:r w:rsidR="00C93CD8" w:rsidRPr="00C93CD8">
        <w:rPr>
          <w:rFonts w:ascii="Verdana" w:hAnsi="Verdana"/>
          <w:sz w:val="20"/>
          <w:szCs w:val="20"/>
        </w:rPr>
        <w:t xml:space="preserve">Payment </w:t>
      </w:r>
      <w:r w:rsidR="00C93CD8">
        <w:rPr>
          <w:rFonts w:ascii="Verdana" w:hAnsi="Verdana"/>
          <w:sz w:val="20"/>
          <w:szCs w:val="20"/>
        </w:rPr>
        <w:t>in instalments</w:t>
      </w:r>
      <w:r w:rsidR="00C93CD8" w:rsidRPr="00C93CD8">
        <w:rPr>
          <w:rFonts w:ascii="Verdana" w:hAnsi="Verdana"/>
          <w:sz w:val="20"/>
          <w:szCs w:val="20"/>
        </w:rPr>
        <w:t xml:space="preserve"> may be available</w:t>
      </w:r>
      <w:r w:rsidR="00C93CD8">
        <w:rPr>
          <w:rFonts w:ascii="Verdana" w:hAnsi="Verdana"/>
          <w:sz w:val="20"/>
          <w:szCs w:val="20"/>
        </w:rPr>
        <w:t xml:space="preserve"> in certain circumstances – please contact us for details.</w:t>
      </w:r>
    </w:p>
    <w:p w:rsidR="00240F67" w:rsidRPr="00BB6102" w:rsidRDefault="003A414A">
      <w:pPr>
        <w:numPr>
          <w:ilvl w:val="0"/>
          <w:numId w:val="1"/>
        </w:numPr>
        <w:ind w:right="167" w:hanging="427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>There is a £30 administration charge</w:t>
      </w:r>
      <w:r w:rsidRPr="00BB6102">
        <w:rPr>
          <w:rFonts w:ascii="Verdana" w:hAnsi="Verdana"/>
          <w:b/>
          <w:sz w:val="20"/>
          <w:szCs w:val="20"/>
        </w:rPr>
        <w:t xml:space="preserve"> </w:t>
      </w:r>
      <w:r w:rsidRPr="00BB6102">
        <w:rPr>
          <w:rFonts w:ascii="Verdana" w:hAnsi="Verdana"/>
          <w:sz w:val="20"/>
          <w:szCs w:val="20"/>
        </w:rPr>
        <w:t>if a place is cancelled any time after the student has been accepted by us and the full fee is payable if cancellation occurs within 30 days of the course start date</w:t>
      </w:r>
      <w:r w:rsidRPr="00BB6102">
        <w:rPr>
          <w:rFonts w:ascii="Verdana" w:hAnsi="Verdana"/>
          <w:b/>
          <w:sz w:val="20"/>
          <w:szCs w:val="20"/>
        </w:rPr>
        <w:t xml:space="preserve"> </w:t>
      </w:r>
    </w:p>
    <w:p w:rsidR="00240F67" w:rsidRPr="00C93CD8" w:rsidRDefault="003A414A">
      <w:pPr>
        <w:numPr>
          <w:ilvl w:val="0"/>
          <w:numId w:val="1"/>
        </w:numPr>
        <w:ind w:right="167" w:hanging="427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 xml:space="preserve">All course fees are </w:t>
      </w:r>
      <w:r w:rsidRPr="00BB6102">
        <w:rPr>
          <w:rFonts w:ascii="Verdana" w:hAnsi="Verdana"/>
          <w:b/>
          <w:sz w:val="20"/>
          <w:szCs w:val="20"/>
        </w:rPr>
        <w:t>invoiced directly to schools/colleges</w:t>
      </w:r>
      <w:r w:rsidRPr="00BB6102">
        <w:rPr>
          <w:rFonts w:ascii="Verdana" w:hAnsi="Verdana"/>
          <w:sz w:val="20"/>
          <w:szCs w:val="20"/>
        </w:rPr>
        <w:t>, it is then the school’s responsibility to cover this cost or pass it to the student in whichever manner best suits them.</w:t>
      </w:r>
      <w:r w:rsidRPr="00BB6102">
        <w:rPr>
          <w:rFonts w:ascii="Verdana" w:hAnsi="Verdana"/>
          <w:b/>
          <w:sz w:val="20"/>
          <w:szCs w:val="20"/>
        </w:rPr>
        <w:t xml:space="preserve"> </w:t>
      </w:r>
    </w:p>
    <w:p w:rsidR="00C93CD8" w:rsidRDefault="00C93CD8">
      <w:pPr>
        <w:spacing w:after="2" w:line="259" w:lineRule="auto"/>
        <w:ind w:left="-5" w:hanging="10"/>
        <w:jc w:val="left"/>
        <w:rPr>
          <w:rFonts w:ascii="Verdana" w:hAnsi="Verdana"/>
          <w:b/>
          <w:color w:val="087070"/>
          <w:sz w:val="22"/>
        </w:rPr>
      </w:pPr>
    </w:p>
    <w:p w:rsidR="00240F67" w:rsidRPr="00343C00" w:rsidRDefault="003A414A">
      <w:pPr>
        <w:spacing w:after="2" w:line="259" w:lineRule="auto"/>
        <w:ind w:left="-5" w:hanging="10"/>
        <w:jc w:val="left"/>
        <w:rPr>
          <w:rFonts w:ascii="Verdana" w:hAnsi="Verdana"/>
          <w:color w:val="087070"/>
          <w:sz w:val="22"/>
        </w:rPr>
      </w:pPr>
      <w:r w:rsidRPr="00343C00">
        <w:rPr>
          <w:rFonts w:ascii="Verdana" w:hAnsi="Verdana"/>
          <w:b/>
          <w:color w:val="087070"/>
          <w:sz w:val="22"/>
        </w:rPr>
        <w:t xml:space="preserve">What are the advantages? </w:t>
      </w:r>
    </w:p>
    <w:p w:rsidR="00240F67" w:rsidRPr="00BB6102" w:rsidRDefault="003A414A">
      <w:pPr>
        <w:ind w:left="-12" w:right="167" w:firstLine="0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 xml:space="preserve">As well as the academic, motivational and social advantages of attending a course students can also benefit from the course by: </w:t>
      </w:r>
    </w:p>
    <w:p w:rsidR="00240F67" w:rsidRPr="00BB6102" w:rsidRDefault="003A414A">
      <w:pPr>
        <w:numPr>
          <w:ilvl w:val="0"/>
          <w:numId w:val="1"/>
        </w:numPr>
        <w:ind w:right="167" w:hanging="427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 xml:space="preserve">Listing a Villiers Park </w:t>
      </w:r>
      <w:r w:rsidR="00071556">
        <w:rPr>
          <w:rFonts w:ascii="Verdana" w:hAnsi="Verdana"/>
          <w:i/>
          <w:sz w:val="20"/>
          <w:szCs w:val="20"/>
        </w:rPr>
        <w:t xml:space="preserve">Inspiring Excellence Programme </w:t>
      </w:r>
      <w:r w:rsidRPr="00BB6102">
        <w:rPr>
          <w:rFonts w:ascii="Verdana" w:hAnsi="Verdana"/>
          <w:sz w:val="20"/>
          <w:szCs w:val="20"/>
        </w:rPr>
        <w:t xml:space="preserve">residential course on their UCAS application, we are recognised by UCAS and can be identified under </w:t>
      </w:r>
      <w:r w:rsidRPr="00BB6102">
        <w:rPr>
          <w:rFonts w:ascii="Verdana" w:hAnsi="Verdana"/>
          <w:i/>
          <w:sz w:val="20"/>
          <w:szCs w:val="20"/>
        </w:rPr>
        <w:t xml:space="preserve">Additional Information/Activities in Preparation for </w:t>
      </w:r>
      <w:proofErr w:type="gramStart"/>
      <w:r w:rsidRPr="00BB6102">
        <w:rPr>
          <w:rFonts w:ascii="Verdana" w:hAnsi="Verdana"/>
          <w:i/>
          <w:sz w:val="20"/>
          <w:szCs w:val="20"/>
        </w:rPr>
        <w:t>HE</w:t>
      </w:r>
      <w:proofErr w:type="gramEnd"/>
      <w:r w:rsidRPr="00BB6102">
        <w:rPr>
          <w:rFonts w:ascii="Verdana" w:hAnsi="Verdana"/>
          <w:i/>
          <w:sz w:val="20"/>
          <w:szCs w:val="20"/>
        </w:rPr>
        <w:t>.</w:t>
      </w:r>
      <w:r w:rsidRPr="00BB6102">
        <w:rPr>
          <w:rFonts w:ascii="Verdana" w:hAnsi="Verdana"/>
          <w:sz w:val="20"/>
          <w:szCs w:val="20"/>
        </w:rPr>
        <w:t xml:space="preserve"> The course can also be cited in a student’s personal statement and frequently gets picked up in interviews by admissions tutors. </w:t>
      </w:r>
    </w:p>
    <w:p w:rsidR="00240F67" w:rsidRPr="00BB6102" w:rsidRDefault="003A414A">
      <w:pPr>
        <w:numPr>
          <w:ilvl w:val="0"/>
          <w:numId w:val="1"/>
        </w:numPr>
        <w:ind w:right="167" w:hanging="427"/>
        <w:rPr>
          <w:rFonts w:ascii="Verdana" w:hAnsi="Verdana"/>
          <w:sz w:val="20"/>
          <w:szCs w:val="20"/>
        </w:rPr>
      </w:pPr>
      <w:r w:rsidRPr="00BB6102">
        <w:rPr>
          <w:rFonts w:ascii="Verdana" w:hAnsi="Verdana"/>
          <w:sz w:val="20"/>
          <w:szCs w:val="20"/>
        </w:rPr>
        <w:t xml:space="preserve">Using the course as the residential aspect of the Gold Duke of Edinburgh’s award. The course tutors and manager can complete the student’s record book during the course. </w:t>
      </w:r>
      <w:bookmarkStart w:id="0" w:name="_GoBack"/>
      <w:bookmarkEnd w:id="0"/>
    </w:p>
    <w:sectPr w:rsidR="00240F67" w:rsidRPr="00BB6102" w:rsidSect="003A414A">
      <w:pgSz w:w="11906" w:h="16838"/>
      <w:pgMar w:top="567" w:right="839" w:bottom="14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1F76"/>
    <w:multiLevelType w:val="hybridMultilevel"/>
    <w:tmpl w:val="536E20F6"/>
    <w:lvl w:ilvl="0" w:tplc="F35CD3BA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AE4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6C8F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6C6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E09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84D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1262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2D4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228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7"/>
    <w:rsid w:val="000153B6"/>
    <w:rsid w:val="00071556"/>
    <w:rsid w:val="00122369"/>
    <w:rsid w:val="00240F67"/>
    <w:rsid w:val="002E5685"/>
    <w:rsid w:val="00343C00"/>
    <w:rsid w:val="003A414A"/>
    <w:rsid w:val="003F00DF"/>
    <w:rsid w:val="006138CA"/>
    <w:rsid w:val="006307F2"/>
    <w:rsid w:val="00640C45"/>
    <w:rsid w:val="00B62C36"/>
    <w:rsid w:val="00BB6102"/>
    <w:rsid w:val="00BD1185"/>
    <w:rsid w:val="00C93CD8"/>
    <w:rsid w:val="00EB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7445"/>
  <w15:docId w15:val="{5B94C558-C831-4825-AD93-C2DDB6B9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0" w:lineRule="auto"/>
      <w:ind w:left="438" w:hanging="435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Villiers Park Educational Trust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Perry</dc:creator>
  <cp:keywords/>
  <cp:lastModifiedBy>Deborah Richardson</cp:lastModifiedBy>
  <cp:revision>3</cp:revision>
  <cp:lastPrinted>2018-06-25T14:49:00Z</cp:lastPrinted>
  <dcterms:created xsi:type="dcterms:W3CDTF">2019-06-13T11:40:00Z</dcterms:created>
  <dcterms:modified xsi:type="dcterms:W3CDTF">2019-09-26T12:36:00Z</dcterms:modified>
</cp:coreProperties>
</file>